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45"/>
        <w:jc w:val="center"/>
        <w:spacing w:before="0" w:beforeAutospacing="0" w:after="20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844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СГЦ.</w:t>
      </w:r>
      <w:r>
        <w:rPr>
          <w:b/>
          <w:bCs/>
          <w:color w:val="000000"/>
        </w:rPr>
        <w:t xml:space="preserve">04 Основы финансовой грамотности</w:t>
      </w:r>
      <w:r>
        <w:rPr>
          <w:b/>
          <w:bCs/>
          <w:color w:val="000000"/>
        </w:rPr>
        <w:t xml:space="preserve"> </w:t>
      </w:r>
      <w:r/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15.01.38 Оператор-наладчик металлообрабатывающих станков</w:t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2025</w:t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2149"/>
        <w:spacing w:after="160" w:line="254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4"/>
        <w:jc w:val="center"/>
        <w:spacing w:before="0" w:beforeAutospacing="0" w:after="200" w:afterAutospacing="0"/>
        <w:rPr>
          <w:b/>
          <w:color w:val="000000"/>
        </w:rPr>
      </w:pPr>
      <w:r>
        <w:rPr>
          <w:b/>
          <w:color w:val="000000"/>
        </w:rPr>
        <w:t xml:space="preserve">СГЦ.04 Основы финансовой грамотности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44"/>
        <w:numPr>
          <w:ilvl w:val="1"/>
          <w:numId w:val="2"/>
        </w:numPr>
        <w:spacing w:before="0" w:beforeAutospacing="0" w:after="200" w:afterAutospacing="0"/>
        <w:rPr>
          <w:rStyle w:val="846"/>
          <w:b/>
          <w:bCs/>
          <w:color w:val="000000"/>
        </w:rPr>
      </w:pPr>
      <w:r>
        <w:rPr>
          <w:rStyle w:val="846"/>
          <w:b/>
          <w:bCs/>
          <w:color w:val="000000"/>
        </w:rPr>
        <w:t xml:space="preserve">Цель и место дисциплины в структуре  образовательной программы</w:t>
      </w:r>
      <w:r>
        <w:rPr>
          <w:rStyle w:val="846"/>
          <w:b/>
          <w:bCs/>
          <w:color w:val="000000"/>
        </w:rPr>
      </w:r>
      <w:r>
        <w:rPr>
          <w:rStyle w:val="846"/>
          <w:b/>
          <w:bCs/>
          <w:color w:val="000000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Цель дисциплины «СГЦ.04 Основы финансовой грамотности»: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освоение знаний о финансовой жизни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4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«СГЦ.04 Основы финансовой грамотности» включена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социально-гуманитарного  цикла образовательной программы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2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>
        <w:tblPrEx/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и отбирать информацию, необходимую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составлять план действий;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реализовывать составленный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основные источники информации и ресурсы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алгоритмы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этапы планирования для решения задач;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задачи для сбора информации;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планировать процесс поиска и осуществлять выбор необходимых источников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формат представления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результатов поиска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 возможности использования различных цифровых сре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дств 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решении профессиональных задач, задач личностного развития и финансового благополучия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учитывать инфляцию при решении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расчеты по валютно-обменным операциям;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-планировать личные доходы и расходы, принимать финансовые решения, составлять личный бюджет;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проводить презентацию идеи открытия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собственного дела в области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источники финансирования для реализации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основные финансовые расчеты в сферах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финансовые риски, связанные с осуществлением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иностранной валюты и валютного курса;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-структуру личных доходов и расходов, правила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различных банковских</w:t>
            </w:r>
            <w:sdt>
              <w:sdtPr>
                <w15:appearance w15:val="boundingBox"/>
                <w:id w:val="-1781252637"/>
                <w:tag w:val="goog_rdk_0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  <w:t xml:space="preserve"> и страховых</w:t>
                </w:r>
              </w:sdtContent>
            </w:sdt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профессиональной деятельности,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предпринимательской деятельности и защиты прав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работать в коллективе и команде;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взаимодействовать с коллегами, руководством, клиентами, в ходе профессиональной и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работы в малых и больших группах, работы в команде, организации коллективной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 организации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излагать свои мысли, формулировать собственное мнение, обосновывать свою позицию в учебных и практических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проявлять толерантность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взаимодействия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правила оформления документов и построения устных сообщений на государственном языке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профессии (специальности),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386"/>
        <w:gridCol w:w="1985"/>
      </w:tblGrid>
      <w:tr>
        <w:tblPrEx/>
        <w:trPr>
          <w:tblCellSpacing w:w="0" w:type="dxa"/>
          <w:trHeight w:val="4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дифференцированного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4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44"/>
        <w:jc w:val="center"/>
        <w:spacing w:before="0" w:beforeAutospacing="0" w:after="200" w:afterAutospacing="0"/>
      </w:pPr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rPr>
          <w:rStyle w:val="84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84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Содержание  дисциплины</w:t>
      </w:r>
      <w:r>
        <w:rPr>
          <w:rStyle w:val="849"/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Style w:val="849"/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14944" w:type="dxa"/>
        <w:tblLayout w:type="fixed"/>
        <w:tblLook w:val="0000" w:firstRow="0" w:lastRow="0" w:firstColumn="0" w:lastColumn="0" w:noHBand="0" w:noVBand="0"/>
      </w:tblPr>
      <w:tblGrid>
        <w:gridCol w:w="2918"/>
        <w:gridCol w:w="8183"/>
        <w:gridCol w:w="1914"/>
        <w:gridCol w:w="1929"/>
      </w:tblGrid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textDirection w:val="lrTb"/>
            <w:noWrap w:val="false"/>
          </w:tcPr>
          <w:p>
            <w:pPr>
              <w:ind w:right="57"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right="57"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textDirection w:val="lrTb"/>
            <w:noWrap w:val="false"/>
          </w:tcPr>
          <w:p>
            <w:pPr>
              <w:ind w:left="108" w:right="200"/>
              <w:jc w:val="center"/>
              <w:spacing w:after="0" w:line="235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1101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Введение в курс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Потребности и ресурсы. Финансовые цели. Финансовое благополучие и финансовые риски. Финансовые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решения. Финансовое поведение. Финансовая культура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1101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Раздел 1. Деньги и операции с ними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1.1. Деньги и платежи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7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и функции денег. Виды современных денег, их основные характеристики.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курс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Платежи и расчеты. Поставщики платежных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Влияние инфляции на финансовые возможности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Издержки проведения платежей разного вида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1.2. </w:t>
            </w:r>
            <w:sdt>
              <w:sdtPr>
                <w15:appearance w15:val="boundingBox"/>
                <w:id w:val="-2024931848"/>
                <w:showingPlcHdr w:val="true"/>
                <w:tag w:val="goog_rdk_2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t xml:space="preserve">    </w:t>
                </w:r>
              </w:sdtContent>
            </w:sdt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Покупки и цены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24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vMerge w:val="restart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Выбор товаров и услуг. Обязательная информация о товаре (услуге).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Поставщики товаров и услуг.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Агрегаторы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маркетплейсы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кэшбек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). </w:t>
            </w:r>
            <w:sdt>
              <w:sdtPr>
                <w15:appearance w15:val="boundingBox"/>
                <w:id w:val="-300389147"/>
                <w:showingPlcHdr w:val="true"/>
                <w:tag w:val="goog_rdk_3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sdt>
              <w:sdtPr>
                <w15:appearance w15:val="boundingBox"/>
                <w:id w:val="-703404117"/>
                <w:showingPlcHdr w:val="true"/>
                <w:tag w:val="goog_rdk_5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полной цены. Выбор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наилучшего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1.3. Безопасное использование денег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Финансовая безопасность в сфере денежного обращения и покуп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фишинг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и способы защиты. Правила возмещения средств,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несанкционированно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списанных со счета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Выбор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надежного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интернет-магазина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1101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Раздел 2. Планирование и управление личными финансами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2.1. Личный и семейный бюджет, финансовое планирование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7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 сокращения расходов и повышения доходов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2.2. Личные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сбережений. Изменение стоимости денег во времени. 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  вкладов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Безопасное использование сберегательных инструментов. Выбор добросовестного поставщика финансовых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2.3. Кредиты и займы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24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Риски использования кредитов и займов и пути их минимизации. Страхование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Безопасное использование кредитных инструментов. Выбор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добросовестного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поставщика финансовых услуг. Выбор оптимальных условий заимствования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2.4. Безопасное управление личными финансами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24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Управление личным бюджетом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1101" w:type="dxa"/>
            <w:vAlign w:val="center"/>
            <w:textDirection w:val="lrTb"/>
            <w:noWrap w:val="false"/>
          </w:tcPr>
          <w:p>
            <w:pPr>
              <w:ind w:hanging="2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Раздел 3. Риск и доходность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3.1. Инвестирование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8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и риски инвестирования. Ликвидность и доходность инвестиций. Взаимосвязь доходности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Стратегия инвестирования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3.2. Страхование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Безопасное использование страховых продуктов. Выбор добросовестного поставщика страховых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3.3. Предпринимательство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для открытия собственного бизнеса и алгоритм действий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предпринимательства в жизни человека и общества. Условия развития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стартапов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1101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Раздел 4. Финансовая среда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4.1. Финансовые взаимоотношения с государством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Пенсионная система России. Социальная поддержка граждан. Возможности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инициативного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бюджетирования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4.2. Защита прав граждан в финансовой сфере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Типичные  ситуация нарушения  прав граждан в финансовой сфере</w:t>
            </w:r>
            <w:sdt>
              <w:sdtPr>
                <w15:appearance w15:val="boundingBox"/>
                <w:id w:val="527225586"/>
                <w:tag w:val="goog_rdk_11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 </w:t>
                </w:r>
                <w:r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  <w:t xml:space="preserve">Основные права граждан в финансовой сфере и формы их защиты. </w:t>
                </w:r>
                <w:sdt>
                  <w:sdtPr>
                    <w15:appearance w15:val="boundingBox"/>
                    <w:id w:val="-1550846209"/>
                    <w:tag w:val="goog_rdk_6"/>
                    <w:rPr>
                      <w:rFonts w:ascii="Times New Roman" w:hAnsi="Times New Roman" w:cs="Times New Roman"/>
                      <w:sz w:val="24"/>
                      <w:szCs w:val="24"/>
                    </w:rPr>
                  </w:sdtPr>
                  <w:sdtContent>
                    <w:sdt>
                      <w:sdtPr>
                        <w15:appearance w15:val="boundingBox"/>
                        <w:id w:val="1977477193"/>
                        <w:tag w:val="goog_rdk_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sdtPr>
                      <w:sdtContent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  <w:t xml:space="preserve">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</w:t>
                        </w:r>
                      </w:sdtContent>
                    </w:sdt>
                  </w:sdtContent>
                </w:sdt>
                <w:sdt>
                  <w:sdtPr>
                    <w15:appearance w15:val="boundingBox"/>
                    <w:id w:val="252247516"/>
                    <w:tag w:val="goog_rdk_8"/>
                    <w:rPr>
                      <w:rFonts w:ascii="Times New Roman" w:hAnsi="Times New Roman" w:cs="Times New Roman"/>
                      <w:sz w:val="24"/>
                      <w:szCs w:val="24"/>
                    </w:rPr>
                  </w:sdtPr>
                  <w:sdtContent>
                    <w:r>
                      <w:rPr>
                        <w:rFonts w:ascii="Times New Roman" w:hAnsi="Times New Roman" w:eastAsia="Times New Roman" w:cs="Times New Roman"/>
                        <w:sz w:val="24"/>
                        <w:szCs w:val="24"/>
                      </w:rPr>
                      <w:t xml:space="preserve"> </w:t>
                    </w:r>
                  </w:sdtContent>
                </w:sdt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sdt>
              <w:sdtPr>
                <w15:appearance w15:val="boundingBox"/>
                <w:id w:val="1593963288"/>
                <w:tag w:val="goog_rdk_9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  <w:t xml:space="preserve">Особенности защиты прав потребителей в цифровой среде.</w:t>
                </w:r>
              </w:sdtContent>
            </w:sdt>
            <w:r/>
            <w:sdt>
              <w:sdtPr>
                <w15:appearance w15:val="boundingBox"/>
                <w:id w:val="1445965142"/>
                <w:showingPlcHdr w:val="true"/>
                <w:tag w:val="goog_rdk_10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Промежуточная аттестация 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2918" w:type="dxa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8183" w:type="dxa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1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15" w:type="dxa"/>
              <w:top w:w="0" w:type="dxa"/>
              <w:right w:w="115" w:type="dxa"/>
              <w:bottom w:w="0" w:type="dxa"/>
            </w:tcMar>
            <w:tcW w:w="1929" w:type="dxa"/>
            <w:vAlign w:val="center"/>
            <w:vMerge w:val="continue"/>
            <w:textDirection w:val="lrTb"/>
            <w:noWrap w:val="false"/>
          </w:tcPr>
          <w:p>
            <w:pPr>
              <w:ind w:hanging="2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2334671"/>
      <w:r/>
      <w:bookmarkStart w:id="2" w:name="_Toc156294574"/>
      <w:r/>
      <w:bookmarkStart w:id="3" w:name="_Toc156825296"/>
      <w:r/>
      <w:bookmarkEnd w:id="1"/>
      <w:r/>
      <w:bookmarkEnd w:id="2"/>
      <w:r/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1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72"/>
      <w:r/>
      <w:bookmarkStart w:id="5" w:name="_Toc156294575"/>
      <w:r/>
      <w:bookmarkStart w:id="6" w:name="_Toc156825297"/>
      <w:r/>
      <w:bookmarkEnd w:id="4"/>
      <w:r/>
      <w:bookmarkEnd w:id="5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Style w:val="850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sz w:val="24"/>
          <w:szCs w:val="24"/>
        </w:rPr>
        <w:t xml:space="preserve">социально-гуманитарных дисциплин, </w:t>
      </w:r>
      <w:r>
        <w:rPr>
          <w:rStyle w:val="850"/>
          <w:rFonts w:ascii="Times New Roman" w:hAnsi="Times New Roman" w:cs="Times New Roman"/>
          <w:color w:val="000000"/>
          <w:sz w:val="24"/>
          <w:szCs w:val="24"/>
        </w:rPr>
        <w:t xml:space="preserve">оснащённый в соответствии с приложением 3 ОПОП-П</w:t>
      </w:r>
      <w:r>
        <w:rPr>
          <w:rStyle w:val="850"/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850"/>
          <w:rFonts w:ascii="Times New Roman" w:hAnsi="Times New Roman" w:cs="Times New Roman"/>
          <w:color w:val="000000"/>
          <w:sz w:val="24"/>
          <w:szCs w:val="24"/>
        </w:rPr>
      </w:r>
      <w:r>
        <w:rPr>
          <w:rStyle w:val="850"/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rPr>
          <w:rStyle w:val="850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Style w:val="850"/>
          <w:rFonts w:ascii="Times New Roman" w:hAnsi="Times New Roman" w:cs="Times New Roman"/>
          <w:color w:val="000000"/>
          <w:sz w:val="24"/>
          <w:szCs w:val="24"/>
        </w:rPr>
      </w:r>
      <w:r>
        <w:rPr>
          <w:rStyle w:val="850"/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 Основные печатные и/или электронные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3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Жданова А.О., Савицкая Е.В. Финансовая грамотность: материалы для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Среднее профессиональное образование. – М.: ВАКО, 2020. – 400 с.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3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</w:t>
      </w:r>
      <w:bookmarkStart w:id="7" w:name="_Hlk11805273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bookmarkEnd w:id="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4-е изд. стер. М.:  Издательский центр «Академия», 2022.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288 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3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грамотность. Методические рекомендации 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Издательский центр «Академия», 2020.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 96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3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грамотность. Практикум 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– 2-е изд.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Издательский центр «Академия», 2022.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128 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3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Флицлер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А.В. Основы финансовой грамотности: учебное пособие для среднего профессионального образования / А.В.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Флицлер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Е.А. Тарханова. –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2022. </w:t>
      </w:r>
      <w:bookmarkStart w:id="8" w:name="_Hlk11804956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bookmarkEnd w:id="8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154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Style w:val="853"/>
          <w:b/>
          <w:bCs/>
          <w:iCs/>
          <w:sz w:val="24"/>
          <w:szCs w:val="24"/>
        </w:rPr>
      </w:pPr>
      <w:r>
        <w:rPr>
          <w:rStyle w:val="853"/>
          <w:b/>
          <w:bCs/>
          <w:iCs/>
          <w:sz w:val="24"/>
          <w:szCs w:val="24"/>
        </w:rPr>
        <w:t xml:space="preserve">3.2.2. Дополнительные источники</w:t>
      </w:r>
      <w:r>
        <w:rPr>
          <w:rStyle w:val="853"/>
          <w:b/>
          <w:bCs/>
          <w:iCs/>
          <w:sz w:val="24"/>
          <w:szCs w:val="24"/>
        </w:rPr>
      </w:r>
      <w:r>
        <w:rPr>
          <w:rStyle w:val="853"/>
          <w:b/>
          <w:bCs/>
          <w:iCs/>
          <w:sz w:val="24"/>
          <w:szCs w:val="24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Купцова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Е.В. Бизнес-планирование: учебник и практикум для среднего профессионального образования/ Е. 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Купцова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А. А. Степанов. —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[сайт]. — URL: </w:t>
      </w:r>
      <w:hyperlink r:id="rId9" w:tooltip="https://urait.ru/bcode/476085" w:history="1">
        <w:r>
          <w:rPr>
            <w:rStyle w:val="854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https://urait.ru/bcode/476085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Электронный учебно-методический комплекс «Финансовая грамотность»: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Елисеева, Е.Г. Метревели. – М.: Издательский центр «Академия», 2019.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Министерство финансов РФ [Электронный ресурс] – Режим доступа: </w:t>
      </w:r>
      <w:hyperlink r:id="rId10" w:tooltip="https://minfin.gov.ru/" w:history="1">
        <w:r>
          <w:rPr>
            <w:rStyle w:val="854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https://minfin.gov.ru/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Образовательные проекты ПАКК [Электронный ресурс] – Режим доступа: </w:t>
      </w:r>
      <w:hyperlink r:id="rId11" w:tooltip="http://www.edu.pacc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www.edu.pacc.ru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Пенсионный фонд РФ [Электронный ресурс] – Режим доступа: </w:t>
      </w:r>
      <w:hyperlink r:id="rId12" w:tooltip="http://www.pfr.gov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www.pfr.gov.ru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Персональный навигатор по финансам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Моифинансы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[Электронный ресурс] – Режим доступа: https: </w:t>
      </w:r>
      <w:hyperlink r:id="rId13" w:tooltip="https://моифинансы.рф/" w:history="1">
        <w:r>
          <w:rPr>
            <w:rStyle w:val="854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https://моифинансы.рф/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Роспотребнадзор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[Электронный ресурс] – Режим доступа: </w:t>
      </w:r>
      <w:hyperlink r:id="rId14" w:tooltip="http://www.rospotrebnadzor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www.rospotrebnadzor.ru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5" w:tooltip="http://www.fmc.hse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www.fmc.hse.ru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Центральный банк Российской Федерации [Электронный ресурс] – Режим доступа: </w:t>
      </w:r>
      <w:hyperlink r:id="rId16" w:tooltip="http://www.cbr.ru/" w:history="1">
        <w:bookmarkStart w:id="9" w:name="_Hlk118046403"/>
        <w:r>
          <w:rPr>
            <w:rStyle w:val="854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</w:t>
        </w:r>
        <w:bookmarkEnd w:id="9"/>
        <w:r>
          <w:rPr>
            <w:rStyle w:val="854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www.cbr.ru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Федеральная налоговая служба [Электронный ресурс] – Режим доступа: </w:t>
      </w:r>
      <w:hyperlink r:id="rId17" w:tooltip="http://www.nalog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www.nalog.ru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18" w:tooltip="http://iurr.ranepa.ru/centry/finlit/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http://iurr.ranepa.ru/centry/finlit/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Финансовая культура [Электронный ресурс] – Режим доступа: </w:t>
      </w:r>
      <w:hyperlink r:id="rId19" w:tooltip="https://fincult.info/" w:history="1">
        <w:r>
          <w:rPr>
            <w:rStyle w:val="854"/>
            <w:rFonts w:ascii="Times New Roman" w:hAnsi="Times New Roman" w:cs="Times New Roman"/>
            <w:sz w:val="24"/>
            <w:szCs w:val="24"/>
          </w:rPr>
          <w:t xml:space="preserve">https://fincult.info/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4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Электронный учебник по финансовой грамотности. [Электронный ресурс] – Режим доступа: </w:t>
      </w:r>
      <w:hyperlink r:id="rId20" w:tooltip="https://школа.вашифинансы.рф/" w:history="1">
        <w:r>
          <w:rPr>
            <w:rStyle w:val="854"/>
            <w:rFonts w:ascii="Times New Roman" w:hAnsi="Times New Roman" w:cs="Times New Roman"/>
            <w:sz w:val="24"/>
            <w:szCs w:val="24"/>
          </w:rPr>
          <w:t xml:space="preserve">https://школа.вашифинансы.рф/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Нормативно-правовая база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1.</w:t>
      </w:r>
      <w:r>
        <w:rPr>
          <w:rStyle w:val="855"/>
          <w:rFonts w:eastAsia="Calibri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2.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3.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22 апреля 1996 г. № 39-ФЗ «О рынке ценных бумаг».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4.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5.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6.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7.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8.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9.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30 декабря 2004 г. № 218-ФЗ «О кредитных историях».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10.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11.</w:t>
      </w:r>
      <w:r>
        <w:rPr>
          <w:rStyle w:val="855"/>
          <w:rFonts w:eastAsia="Calibri"/>
          <w:sz w:val="24"/>
          <w:szCs w:val="24"/>
        </w:rPr>
        <w:tab/>
        <w:t xml:space="preserve">Федеральный закон от 28 декабря 2013 г. № 400-ФЗ «О страховых пенсиях».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12.</w:t>
      </w:r>
      <w:r>
        <w:rPr>
          <w:rStyle w:val="855"/>
          <w:rFonts w:eastAsia="Calibri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13.</w:t>
      </w:r>
      <w:r>
        <w:rPr>
          <w:rStyle w:val="855"/>
          <w:rFonts w:eastAsia="Calibri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855"/>
          <w:rFonts w:eastAsia="Calibri"/>
          <w:sz w:val="24"/>
          <w:szCs w:val="24"/>
        </w:rPr>
        <w:t xml:space="preserve">14.</w:t>
      </w:r>
      <w:r>
        <w:rPr>
          <w:rStyle w:val="855"/>
          <w:rFonts w:eastAsia="Calibri"/>
          <w:sz w:val="24"/>
          <w:szCs w:val="24"/>
        </w:rPr>
        <w:tab/>
        <w:t xml:space="preserve">Положение Банка России от 29 июня 2021 г. № 762-П «О правилах осуществления перевода денежных средств».</w:t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Style w:val="855"/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  <w:r>
        <w:rPr>
          <w:rStyle w:val="855"/>
          <w:rFonts w:eastAsia="Calibri"/>
          <w:sz w:val="24"/>
          <w:szCs w:val="24"/>
        </w:rPr>
      </w:r>
    </w:p>
    <w:p>
      <w:pPr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1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актуальный профессиональный и социальный контекст, в котором работаешь и живешь;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основные источники информации и ресурсы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алгоритмы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 информационные источники, используемые в профессиональной деятельности; для решения задач личностного развития и финансового благополучия;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формат представления результатов поиска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возможности использования различных цифровых сре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дств 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решении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иностранной валюты и валютного курса;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-структуру личных доходов и расходов, правила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работы в малых и больших группах, работы в команде, организации коллективной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организации проектной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взаимодействия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правила оформления документов и построения устных сообщений на государственном языке РФ;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бережливого 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ориентируется в источниках информации и ресурсах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 сформулировать алгоритм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 том, как представлять результаты поиска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определить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влияния инфляции на решение финансовых задач в профессии, личном планировании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валютных курсов и порядка проведения расчетов по обмену одной валюты на другую;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демонстрирует понимание правил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 государственных органах и их полномочиях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предпринимательской сферах, а также в сфере защиты прав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представление 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принципах организации проектной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представление о принципах взаимодействия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знание правил оформления документов и построения устных сообщений на государственном языке РФ;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знание правил экологической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знание принципов бережливого производства.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-выявлять и отбирать информацию, необходимую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составлять план действий;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-определять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реализовывать составленный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задачи для сбора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планировать процесс поиска информации и осуществлять выбор необходимых источников;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определять актуальность нормативно-правовой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в профессиональной деятельности, для ведения предпринимательской деятельности и личного финансового планирования;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учитывать инфляцию при решении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расчеты по валютно-обменным операциям;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-планировать личные доходы и расходы, принимать финансовые решения, составлять личный бюджет;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использовать разнообразие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проводить презентацию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источники финансирования для реализации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основные финансовые расчеты при планировании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финансовые риски, связанные с осуществлением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работать в коллективе и команде;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взаимодействовать с коллегами, руководством, клиентами, в ходе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 и предпринимательской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излагать свои мысли, формулировать собственное мнение, обосновывать свою позицию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учебных и практических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проявлять толерантность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соблюдать нормы экологической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работу с соблюдением принципов бережливого 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определяет задачу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осуществляет поиск и отбор информации, необходимой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осуществляет планирование действий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определяет ресурсы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составленный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оценивает полученный результат;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определяет задачи для сбора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планирует процесс поиска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осуществлять  выбор необходимых источников;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умение пользоваться цифровыми средствами при решении профессиональных задач, задач личностного развития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планирует траектории профессионального и личностного развития;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учитывает инфляцию при решении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производит расчеты по валютно-обменным операциям;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планирует личные доходы и расходы, принимать финансовые решения, составляет личный бюджет;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анализирует бизнес-идею;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 презентацию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предлагает возможные источники финансирования для реализации бизне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идеи;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финансовыми расчетами;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 оценку возможных финансовых рисков, связанных с осуществлением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осуществляет коммуникации в соответствии с полученными знаниями и практическим опытом;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грамотно излагает собственную точку зрения с приведением аргументов;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bookmarkStart w:id="10" w:name="_GoBack"/>
            <w:r/>
            <w:bookmarkEnd w:id="1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толерантное поведение;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практические задания по заполнению документов на государственном языке РФ в соответствии с примерами;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соблюдение норм экологической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важности ресурсосбережения и определяет направления его применения.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0"/>
    <w:next w:val="840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1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0"/>
    <w:next w:val="840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1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0"/>
    <w:next w:val="840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1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1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1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1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1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1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0"/>
    <w:next w:val="840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40"/>
    <w:next w:val="840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41"/>
    <w:link w:val="683"/>
    <w:uiPriority w:val="10"/>
    <w:rPr>
      <w:sz w:val="48"/>
      <w:szCs w:val="48"/>
    </w:rPr>
  </w:style>
  <w:style w:type="paragraph" w:styleId="685">
    <w:name w:val="Subtitle"/>
    <w:basedOn w:val="840"/>
    <w:next w:val="840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41"/>
    <w:link w:val="685"/>
    <w:uiPriority w:val="11"/>
    <w:rPr>
      <w:sz w:val="24"/>
      <w:szCs w:val="24"/>
    </w:rPr>
  </w:style>
  <w:style w:type="paragraph" w:styleId="687">
    <w:name w:val="Quote"/>
    <w:basedOn w:val="840"/>
    <w:next w:val="840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40"/>
    <w:next w:val="840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40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41"/>
    <w:link w:val="691"/>
    <w:uiPriority w:val="99"/>
  </w:style>
  <w:style w:type="paragraph" w:styleId="693">
    <w:name w:val="Footer"/>
    <w:basedOn w:val="840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41"/>
    <w:link w:val="693"/>
    <w:uiPriority w:val="99"/>
  </w:style>
  <w:style w:type="paragraph" w:styleId="695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"/>
    <w:basedOn w:val="84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7">
    <w:name w:val="List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8">
    <w:name w:val="List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9">
    <w:name w:val="List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0">
    <w:name w:val="List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1">
    <w:name w:val="List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2">
    <w:name w:val="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 &amp; 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Bordered &amp; 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Bordered &amp; 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Bordered &amp; 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Bordered &amp; 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Bordered &amp; 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basedOn w:val="841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41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qFormat/>
  </w:style>
  <w:style w:type="character" w:styleId="841" w:default="1">
    <w:name w:val="Default Paragraph Font"/>
    <w:uiPriority w:val="1"/>
    <w:semiHidden/>
    <w:unhideWhenUsed/>
  </w:style>
  <w:style w:type="table" w:styleId="8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3" w:default="1">
    <w:name w:val="No List"/>
    <w:uiPriority w:val="99"/>
    <w:semiHidden/>
    <w:unhideWhenUsed/>
  </w:style>
  <w:style w:type="paragraph" w:styleId="844">
    <w:name w:val="Normal (Web)"/>
    <w:basedOn w:val="84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5" w:customStyle="1">
    <w:name w:val="docdata"/>
    <w:basedOn w:val="84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6" w:customStyle="1">
    <w:name w:val="1888"/>
    <w:basedOn w:val="841"/>
  </w:style>
  <w:style w:type="paragraph" w:styleId="847">
    <w:name w:val="Balloon Text"/>
    <w:basedOn w:val="840"/>
    <w:link w:val="84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8" w:customStyle="1">
    <w:name w:val="Текст выноски Знак"/>
    <w:basedOn w:val="841"/>
    <w:link w:val="847"/>
    <w:uiPriority w:val="99"/>
    <w:semiHidden/>
    <w:rPr>
      <w:rFonts w:ascii="Tahoma" w:hAnsi="Tahoma" w:cs="Tahoma"/>
      <w:sz w:val="16"/>
      <w:szCs w:val="16"/>
    </w:rPr>
  </w:style>
  <w:style w:type="character" w:styleId="849" w:customStyle="1">
    <w:name w:val="1436"/>
    <w:basedOn w:val="841"/>
  </w:style>
  <w:style w:type="character" w:styleId="850" w:customStyle="1">
    <w:name w:val="1492"/>
    <w:basedOn w:val="841"/>
  </w:style>
  <w:style w:type="paragraph" w:styleId="851">
    <w:name w:val="List Paragraph"/>
    <w:basedOn w:val="840"/>
    <w:link w:val="852"/>
    <w:uiPriority w:val="34"/>
    <w:qFormat/>
    <w:pPr>
      <w:contextualSpacing/>
      <w:ind w:left="720"/>
      <w:spacing w:after="160" w:line="259" w:lineRule="auto"/>
    </w:pPr>
  </w:style>
  <w:style w:type="character" w:styleId="852" w:customStyle="1">
    <w:name w:val="Абзац списка Знак"/>
    <w:link w:val="851"/>
    <w:uiPriority w:val="34"/>
    <w:qFormat/>
  </w:style>
  <w:style w:type="character" w:styleId="853" w:customStyle="1">
    <w:name w:val="1213"/>
    <w:basedOn w:val="841"/>
  </w:style>
  <w:style w:type="character" w:styleId="854">
    <w:name w:val="Hyperlink"/>
    <w:rPr>
      <w:color w:val="0000ff"/>
      <w:position w:val="-1"/>
      <w:u w:val="single"/>
      <w:vertAlign w:val="baseline"/>
      <w:cs w:val="0"/>
    </w:rPr>
  </w:style>
  <w:style w:type="character" w:styleId="855" w:customStyle="1">
    <w:name w:val="Основной текст (2)_"/>
    <w:basedOn w:val="841"/>
    <w:link w:val="856"/>
    <w:rPr>
      <w:rFonts w:ascii="Times New Roman" w:hAnsi="Times New Roman" w:eastAsia="Times New Roman" w:cs="Times New Roman"/>
      <w:sz w:val="16"/>
      <w:szCs w:val="16"/>
    </w:rPr>
  </w:style>
  <w:style w:type="paragraph" w:styleId="856" w:customStyle="1">
    <w:name w:val="Основной текст (2)"/>
    <w:basedOn w:val="840"/>
    <w:link w:val="855"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urait.ru/bcode/476085" TargetMode="External"/><Relationship Id="rId10" Type="http://schemas.openxmlformats.org/officeDocument/2006/relationships/hyperlink" Target="https://minfin.gov.ru/" TargetMode="External"/><Relationship Id="rId11" Type="http://schemas.openxmlformats.org/officeDocument/2006/relationships/hyperlink" Target="http://www.edu.pacc.ru" TargetMode="External"/><Relationship Id="rId12" Type="http://schemas.openxmlformats.org/officeDocument/2006/relationships/hyperlink" Target="http://www.pfr.gov.ru" TargetMode="External"/><Relationship Id="rId13" Type="http://schemas.openxmlformats.org/officeDocument/2006/relationships/hyperlink" Target="https://&#1084;&#1086;&#1080;&#1092;&#1080;&#1085;&#1072;&#1085;&#1089;&#1099;.&#1088;&#1092;/" TargetMode="External"/><Relationship Id="rId14" Type="http://schemas.openxmlformats.org/officeDocument/2006/relationships/hyperlink" Target="http://www.rospotrebnadzor.ru" TargetMode="External"/><Relationship Id="rId15" Type="http://schemas.openxmlformats.org/officeDocument/2006/relationships/hyperlink" Target="http://www.fmc.hse.ru" TargetMode="External"/><Relationship Id="rId16" Type="http://schemas.openxmlformats.org/officeDocument/2006/relationships/hyperlink" Target="http://www.cbr.ru/" TargetMode="External"/><Relationship Id="rId17" Type="http://schemas.openxmlformats.org/officeDocument/2006/relationships/hyperlink" Target="http://www.nalog.ru" TargetMode="External"/><Relationship Id="rId18" Type="http://schemas.openxmlformats.org/officeDocument/2006/relationships/hyperlink" Target="http://iurr.ranepa.ru/centry/finlit/" TargetMode="External"/><Relationship Id="rId19" Type="http://schemas.openxmlformats.org/officeDocument/2006/relationships/hyperlink" Target="https://fincult.info/" TargetMode="External"/><Relationship Id="rId20" Type="http://schemas.openxmlformats.org/officeDocument/2006/relationships/hyperlink" Target="https://&#1096;&#1082;&#1086;&#1083;&#1072;.&#1074;&#1072;&#1096;&#1080;&#1092;&#1080;&#1085;&#1072;&#1085;&#1089;&#1099;.&#1088;&#1092;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Юлия Кисаубаева</cp:lastModifiedBy>
  <cp:revision>5</cp:revision>
  <dcterms:created xsi:type="dcterms:W3CDTF">2025-05-22T04:21:00Z</dcterms:created>
  <dcterms:modified xsi:type="dcterms:W3CDTF">2025-06-03T03:29:35Z</dcterms:modified>
</cp:coreProperties>
</file>